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АКТ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об отсутствии оснований для проведения внеплановой специальной оценки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условий труда в связи с переименованием должности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от «</w:t>
            </w:r>
          </w:p>
        </w:tc>
        <w:tc>
          <w:tcPr>
            <w:tcW w:w="0" w:type="auto"/>
            <w:gridSpan w:val="5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27.02.2022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г.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Комиссия в составе председателя: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члена комиссии: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  <w:tc>
          <w:tcPr>
            <w:tcW w:w="0" w:type="auto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3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члена комиссии: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</w:t>
            </w:r>
          </w:p>
        </w:tc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в присутствии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 основании информации службы управления персоналом о переименовании должности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УСТАНОВИЛА: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ind w:left="94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По ранее проведенной «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 xml:space="preserve">» </w:t>
      </w:r>
      <w:r>
        <w:rPr>
          <w:rFonts w:hAnsi="Times New Roman" w:cs="Times New Roman"/>
          <w:color w:val="000000"/>
          <w:sz w:val="24"/>
          <w:szCs w:val="24"/>
        </w:rPr>
        <w:t>_____</w:t>
      </w:r>
      <w:r>
        <w:rPr>
          <w:rFonts w:hAnsi="Times New Roman" w:cs="Times New Roman"/>
          <w:color w:val="000000"/>
          <w:sz w:val="24"/>
          <w:szCs w:val="24"/>
        </w:rPr>
        <w:t xml:space="preserve"> 20</w:t>
      </w:r>
      <w:r>
        <w:rPr>
          <w:rFonts w:hAnsi="Times New Roman" w:cs="Times New Roman"/>
          <w:color w:val="000000"/>
          <w:sz w:val="24"/>
          <w:szCs w:val="24"/>
        </w:rPr>
        <w:t>___</w:t>
      </w:r>
      <w:r>
        <w:rPr>
          <w:rFonts w:hAnsi="Times New Roman" w:cs="Times New Roman"/>
          <w:color w:val="000000"/>
          <w:sz w:val="24"/>
          <w:szCs w:val="24"/>
        </w:rPr>
        <w:t xml:space="preserve">г. специальной оценке условий труда по карте спецоценки рабочего места № </w:t>
      </w:r>
      <w:r>
        <w:rPr>
          <w:rFonts w:hAnsi="Times New Roman" w:cs="Times New Roman"/>
          <w:color w:val="000000"/>
          <w:sz w:val="24"/>
          <w:szCs w:val="24"/>
        </w:rPr>
        <w:t>___</w:t>
      </w:r>
      <w:r>
        <w:rPr>
          <w:rFonts w:hAnsi="Times New Roman" w:cs="Times New Roman"/>
          <w:color w:val="000000"/>
          <w:sz w:val="24"/>
          <w:szCs w:val="24"/>
        </w:rPr>
        <w:t xml:space="preserve"> «</w:t>
      </w:r>
      <w:r>
        <w:rPr>
          <w:rFonts w:hAnsi="Times New Roman" w:cs="Times New Roman"/>
          <w:color w:val="000000"/>
          <w:sz w:val="24"/>
          <w:szCs w:val="24"/>
        </w:rPr>
        <w:t>_______________________________</w:t>
      </w:r>
      <w:r>
        <w:rPr>
          <w:rFonts w:hAnsi="Times New Roman" w:cs="Times New Roman"/>
          <w:color w:val="000000"/>
          <w:sz w:val="24"/>
          <w:szCs w:val="24"/>
        </w:rPr>
        <w:t>» цеха №</w:t>
      </w:r>
      <w:r>
        <w:rPr>
          <w:rFonts w:hAnsi="Times New Roman" w:cs="Times New Roman"/>
          <w:color w:val="000000"/>
          <w:sz w:val="24"/>
          <w:szCs w:val="24"/>
        </w:rPr>
        <w:t>___</w:t>
      </w:r>
      <w:r>
        <w:rPr>
          <w:rFonts w:hAnsi="Times New Roman" w:cs="Times New Roman"/>
          <w:color w:val="000000"/>
          <w:sz w:val="24"/>
          <w:szCs w:val="24"/>
        </w:rPr>
        <w:t xml:space="preserve">установлен класс </w:t>
      </w:r>
      <w:r>
        <w:rPr>
          <w:rFonts w:hAnsi="Times New Roman" w:cs="Times New Roman"/>
          <w:color w:val="000000"/>
          <w:sz w:val="24"/>
          <w:szCs w:val="24"/>
        </w:rPr>
        <w:t>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ind w:left="94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В связи с требованиями </w:t>
      </w:r>
      <w:r>
        <w:rPr>
          <w:rFonts w:hAnsi="Times New Roman" w:cs="Times New Roman"/>
          <w:color w:val="000000"/>
          <w:sz w:val="24"/>
          <w:szCs w:val="24"/>
        </w:rPr>
        <w:t>статьи 195.3</w:t>
      </w:r>
      <w:r>
        <w:rPr>
          <w:rFonts w:hAnsi="Times New Roman" w:cs="Times New Roman"/>
          <w:color w:val="000000"/>
          <w:sz w:val="24"/>
          <w:szCs w:val="24"/>
        </w:rPr>
        <w:t xml:space="preserve"> ТК требуется переименование должности «</w:t>
      </w:r>
      <w:r>
        <w:rPr>
          <w:rFonts w:hAnsi="Times New Roman" w:cs="Times New Roman"/>
          <w:color w:val="000000"/>
          <w:sz w:val="24"/>
          <w:szCs w:val="24"/>
        </w:rPr>
        <w:t>_______________________________</w:t>
      </w:r>
      <w:r>
        <w:rPr>
          <w:rFonts w:hAnsi="Times New Roman" w:cs="Times New Roman"/>
          <w:color w:val="000000"/>
          <w:sz w:val="24"/>
          <w:szCs w:val="24"/>
        </w:rPr>
        <w:t>» на «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».</w:t>
      </w:r>
    </w:p>
    <w:p>
      <w:pPr>
        <w:spacing w:line="240" w:lineRule="auto"/>
        <w:ind w:left="94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Служба управления персоналом просит предоставить основания для проведения внеплановой специальной оценки условий труда, указанные в </w:t>
      </w:r>
      <w:r>
        <w:rPr>
          <w:rFonts w:hAnsi="Times New Roman" w:cs="Times New Roman"/>
          <w:color w:val="000000"/>
          <w:sz w:val="24"/>
          <w:szCs w:val="24"/>
        </w:rPr>
        <w:t>статье 17</w:t>
      </w:r>
      <w:r>
        <w:rPr>
          <w:rFonts w:hAnsi="Times New Roman" w:cs="Times New Roman"/>
          <w:color w:val="000000"/>
          <w:sz w:val="24"/>
          <w:szCs w:val="24"/>
        </w:rPr>
        <w:t xml:space="preserve"> Закона «О специальной оценке условий труда».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Комиссия установила, что переименование должности не повлекло за собой организацию нового рабочего места, изменение технологического процесса, замену производственного оборудования, изменение состава применяемых материалов и (или) сырья, изменение применяемых средств индивидуальной и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коллективной защиты.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Также комиссия установила отсутствие мотивированных предложений самого работника и его представительного органа (при наличии) о проведении внеплановой специальной оценки условий труда.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связи с вышеуказанным комиссия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РЕШИЛА:</w:t>
      </w:r>
    </w:p>
    <w:p>
      <w:pPr>
        <w:spacing w:line="240" w:lineRule="auto"/>
        <w:ind w:left="94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Считать карту СОУТ №</w:t>
      </w:r>
      <w:r>
        <w:rPr>
          <w:rFonts w:hAnsi="Times New Roman" w:cs="Times New Roman"/>
          <w:color w:val="000000"/>
          <w:sz w:val="24"/>
          <w:szCs w:val="24"/>
        </w:rPr>
        <w:t>_____</w:t>
      </w:r>
      <w:r>
        <w:rPr>
          <w:rFonts w:hAnsi="Times New Roman" w:cs="Times New Roman"/>
          <w:color w:val="000000"/>
          <w:sz w:val="24"/>
          <w:szCs w:val="24"/>
        </w:rPr>
        <w:t xml:space="preserve"> наименование рабочего места «</w:t>
      </w:r>
      <w:r>
        <w:rPr>
          <w:rFonts w:hAnsi="Times New Roman" w:cs="Times New Roman"/>
          <w:color w:val="000000"/>
          <w:sz w:val="24"/>
          <w:szCs w:val="24"/>
        </w:rPr>
        <w:t>_______________________________</w:t>
      </w:r>
      <w:r>
        <w:rPr>
          <w:rFonts w:hAnsi="Times New Roman" w:cs="Times New Roman"/>
          <w:color w:val="000000"/>
          <w:sz w:val="24"/>
          <w:szCs w:val="24"/>
        </w:rPr>
        <w:t>», действительной для рабочего места «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».</w:t>
      </w:r>
    </w:p>
    <w:p>
      <w:pPr>
        <w:spacing w:line="240" w:lineRule="auto"/>
        <w:ind w:left="94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Оснований для внеплановой специальной оценки условий труда на рабочем месте (№ карты </w:t>
      </w:r>
      <w:r>
        <w:rPr>
          <w:rFonts w:hAnsi="Times New Roman" w:cs="Times New Roman"/>
          <w:color w:val="000000"/>
          <w:sz w:val="24"/>
          <w:szCs w:val="24"/>
        </w:rPr>
        <w:t>___</w:t>
      </w:r>
      <w:r>
        <w:rPr>
          <w:rFonts w:hAnsi="Times New Roman" w:cs="Times New Roman"/>
          <w:color w:val="000000"/>
          <w:sz w:val="24"/>
          <w:szCs w:val="24"/>
        </w:rPr>
        <w:t>) нет.</w:t>
      </w:r>
    </w:p>
    <w:p>
      <w:pPr>
        <w:spacing w:line="240" w:lineRule="auto"/>
        <w:ind w:left="94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Направить настоящий акт на утверждение руководителю организации.</w:t>
      </w:r>
    </w:p>
    <w:p>
      <w:pPr>
        <w:spacing w:line="240" w:lineRule="auto"/>
        <w:ind w:left="94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Руководитель организации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Комиссия: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Работник: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8aa381f4c1474d30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